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TEHNISKĀ SPECIFIKĀCIJA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30" w:firstLine="0"/>
        <w:rPr/>
      </w:pPr>
      <w:r w:rsidDel="00000000" w:rsidR="00000000" w:rsidRPr="00000000">
        <w:rPr>
          <w:rtl w:val="0"/>
        </w:rPr>
        <w:t xml:space="preserve">Koksnes šķeldas kvalitātes prasības un specifikācija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Kurināmās šķeldas izmēri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345.0" w:type="dxa"/>
        <w:tblBorders>
          <w:top w:color="574f3b" w:space="0" w:sz="6" w:val="single"/>
          <w:left w:color="574f3b" w:space="0" w:sz="6" w:val="single"/>
          <w:bottom w:color="574f3b" w:space="0" w:sz="6" w:val="single"/>
          <w:right w:color="574f3b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00"/>
        <w:gridCol w:w="1050"/>
        <w:gridCol w:w="1050"/>
        <w:tblGridChange w:id="0">
          <w:tblGrid>
            <w:gridCol w:w="2400"/>
            <w:gridCol w:w="1050"/>
            <w:gridCol w:w="1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BIEZUMS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5 - 15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15 - 20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PLATUMS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5 - 40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40 -50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GARUMS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10 - 100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100 - 150</w:t>
            </w:r>
          </w:p>
        </w:tc>
      </w:tr>
    </w:tbl>
    <w:p w:rsidR="00000000" w:rsidDel="00000000" w:rsidP="00000000" w:rsidRDefault="00000000" w:rsidRPr="00000000" w14:paraId="00000019">
      <w:pPr>
        <w:ind w:left="33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Pieļaujamais sastāvs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Skujas – 20%.</w:t>
      </w:r>
    </w:p>
    <w:p w:rsidR="00000000" w:rsidDel="00000000" w:rsidP="00000000" w:rsidRDefault="00000000" w:rsidRPr="00000000" w14:paraId="0000001B">
      <w:pPr>
        <w:ind w:left="330" w:firstLine="0"/>
        <w:rPr/>
      </w:pPr>
      <w:r w:rsidDel="00000000" w:rsidR="00000000" w:rsidRPr="00000000">
        <w:rPr>
          <w:b w:val="1"/>
          <w:rtl w:val="0"/>
        </w:rPr>
        <w:t xml:space="preserve">Nav pieļaujams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Metāla un plastmasas izstrādājumi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Akmeņi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Zeme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Celmi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rtl w:val="0"/>
        </w:rPr>
        <w:t xml:space="preserve">Citi svešķermeņi </w:t>
      </w:r>
    </w:p>
    <w:p w:rsidR="00000000" w:rsidDel="00000000" w:rsidP="00000000" w:rsidRDefault="00000000" w:rsidRPr="00000000" w14:paraId="00000021">
      <w:pPr>
        <w:ind w:left="330" w:firstLine="0"/>
        <w:rPr/>
      </w:pPr>
      <w:r w:rsidDel="00000000" w:rsidR="00000000" w:rsidRPr="00000000">
        <w:rPr>
          <w:rtl w:val="0"/>
        </w:rPr>
        <w:t xml:space="preserve">Koksnes šķeldas tilpuma uzmērīšana un pieņemšana notiek ber/m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. Ja kurināmās šķeldas kvalitāte neatbilst prasībām, tad krava netiek pieņemta.</w:t>
      </w:r>
    </w:p>
    <w:p w:rsidR="00000000" w:rsidDel="00000000" w:rsidP="00000000" w:rsidRDefault="00000000" w:rsidRPr="00000000" w14:paraId="00000022">
      <w:pPr>
        <w:ind w:left="330" w:firstLine="0"/>
        <w:rPr/>
      </w:pPr>
      <w:r w:rsidDel="00000000" w:rsidR="00000000" w:rsidRPr="00000000">
        <w:rPr>
          <w:rtl w:val="0"/>
        </w:rPr>
        <w:t xml:space="preserve">Nepieciešamais kurināmā kopējais piegādes apjoms  - 5000 ber/m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firstLine="330"/>
        <w:jc w:val="both"/>
        <w:rPr/>
      </w:pPr>
      <w:r w:rsidDel="00000000" w:rsidR="00000000" w:rsidRPr="00000000">
        <w:rPr>
          <w:rtl w:val="0"/>
        </w:rPr>
        <w:t xml:space="preserve">Piegādes jāveic pa daļām ar piegādātāja transportu vienu reizi nedēļā, pēc pasūtītāja pieprasījuma.</w:t>
      </w:r>
    </w:p>
    <w:p w:rsidR="00000000" w:rsidDel="00000000" w:rsidP="00000000" w:rsidRDefault="00000000" w:rsidRPr="00000000" w14:paraId="00000024">
      <w:pPr>
        <w:ind w:firstLine="330"/>
        <w:jc w:val="both"/>
        <w:rPr/>
      </w:pPr>
      <w:r w:rsidDel="00000000" w:rsidR="00000000" w:rsidRPr="00000000">
        <w:rPr>
          <w:rtl w:val="0"/>
        </w:rPr>
        <w:t xml:space="preserve">Šķeldas piegādes sākums ar 01.05.2023</w:t>
      </w:r>
    </w:p>
    <w:p w:rsidR="00000000" w:rsidDel="00000000" w:rsidP="00000000" w:rsidRDefault="00000000" w:rsidRPr="00000000" w14:paraId="00000025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Piegādes vieta:  A.Pumpura 12, Talsi, Talsu novads;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64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